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6DFC" w14:textId="77777777" w:rsidR="007E3C1F" w:rsidRDefault="00000000">
      <w:pPr>
        <w:spacing w:beforeAutospacing="1" w:afterAutospacing="1"/>
        <w:ind w:left="5664"/>
        <w:rPr>
          <w:rFonts w:asciiTheme="minorHAnsi" w:hAnsiTheme="minorHAnsi" w:cstheme="minorHAnsi"/>
          <w:sz w:val="22"/>
          <w:szCs w:val="22"/>
        </w:rPr>
      </w:pPr>
      <w:r>
        <w:rPr>
          <w:rFonts w:asciiTheme="minorHAnsi" w:hAnsiTheme="minorHAnsi" w:cstheme="minorHAnsi"/>
          <w:sz w:val="22"/>
          <w:szCs w:val="22"/>
        </w:rPr>
        <w:t>Warszawa, 23.12.2022 r.</w:t>
      </w:r>
    </w:p>
    <w:p w14:paraId="08D85004" w14:textId="77777777" w:rsidR="007E3C1F" w:rsidRDefault="007E3C1F">
      <w:pPr>
        <w:rPr>
          <w:rFonts w:asciiTheme="minorHAnsi" w:hAnsiTheme="minorHAnsi" w:cstheme="minorHAnsi"/>
          <w:sz w:val="22"/>
          <w:szCs w:val="22"/>
        </w:rPr>
      </w:pPr>
    </w:p>
    <w:p w14:paraId="6D825968" w14:textId="77777777" w:rsidR="007E3C1F" w:rsidRDefault="007E3C1F">
      <w:pPr>
        <w:rPr>
          <w:rFonts w:asciiTheme="minorHAnsi" w:hAnsiTheme="minorHAnsi" w:cstheme="minorHAnsi"/>
          <w:sz w:val="22"/>
          <w:szCs w:val="22"/>
        </w:rPr>
      </w:pPr>
    </w:p>
    <w:p w14:paraId="3CACCE36" w14:textId="77777777" w:rsidR="007E3C1F" w:rsidRDefault="007E3C1F">
      <w:pPr>
        <w:rPr>
          <w:rFonts w:asciiTheme="minorHAnsi" w:hAnsiTheme="minorHAnsi" w:cstheme="minorHAnsi"/>
          <w:sz w:val="22"/>
          <w:szCs w:val="22"/>
        </w:rPr>
      </w:pPr>
    </w:p>
    <w:p w14:paraId="4C6FC8F4" w14:textId="77777777" w:rsidR="007E3C1F" w:rsidRDefault="007E3C1F">
      <w:pPr>
        <w:rPr>
          <w:rFonts w:asciiTheme="minorHAnsi" w:hAnsiTheme="minorHAnsi" w:cstheme="minorHAnsi"/>
          <w:sz w:val="22"/>
          <w:szCs w:val="22"/>
        </w:rPr>
      </w:pPr>
    </w:p>
    <w:p w14:paraId="777D2296" w14:textId="77777777" w:rsidR="007E3C1F" w:rsidRDefault="00000000">
      <w:pPr>
        <w:rPr>
          <w:rFonts w:asciiTheme="minorHAnsi" w:hAnsiTheme="minorHAnsi" w:cstheme="minorHAnsi"/>
          <w:sz w:val="22"/>
          <w:szCs w:val="22"/>
        </w:rPr>
      </w:pPr>
      <w:r>
        <w:rPr>
          <w:rFonts w:asciiTheme="minorHAnsi" w:hAnsiTheme="minorHAnsi" w:cstheme="minorHAnsi"/>
          <w:sz w:val="22"/>
          <w:szCs w:val="22"/>
        </w:rPr>
        <w:t xml:space="preserve">Nr referencyjny postępowania: </w:t>
      </w:r>
      <w:r w:rsidRPr="00741868">
        <w:rPr>
          <w:rFonts w:asciiTheme="minorHAnsi" w:hAnsiTheme="minorHAnsi" w:cstheme="minorHAnsi"/>
          <w:b/>
          <w:bCs/>
          <w:sz w:val="22"/>
          <w:szCs w:val="22"/>
        </w:rPr>
        <w:t>WCK/2/ZP/2022</w:t>
      </w:r>
      <w:r>
        <w:rPr>
          <w:rFonts w:asciiTheme="minorHAnsi" w:hAnsiTheme="minorHAnsi" w:cstheme="minorHAnsi"/>
          <w:sz w:val="22"/>
          <w:szCs w:val="22"/>
        </w:rPr>
        <w:t xml:space="preserve"> </w:t>
      </w:r>
    </w:p>
    <w:p w14:paraId="16A4CE8E" w14:textId="77777777" w:rsidR="007E3C1F" w:rsidRDefault="00000000">
      <w:pPr>
        <w:spacing w:beforeAutospacing="1" w:afterAutospacing="1"/>
        <w:jc w:val="center"/>
        <w:rPr>
          <w:rFonts w:asciiTheme="minorHAnsi" w:hAnsiTheme="minorHAnsi" w:cstheme="minorHAnsi"/>
          <w:sz w:val="22"/>
          <w:szCs w:val="22"/>
        </w:rPr>
      </w:pPr>
      <w:r>
        <w:rPr>
          <w:rFonts w:asciiTheme="minorHAnsi" w:hAnsiTheme="minorHAnsi" w:cstheme="minorHAnsi"/>
          <w:b/>
          <w:bCs/>
          <w:sz w:val="22"/>
          <w:szCs w:val="22"/>
        </w:rPr>
        <w:t>Wyjaśnienia Zamawiającego do treści Specyfikacji Warunków Zamówienia (SWZ)</w:t>
      </w:r>
    </w:p>
    <w:p w14:paraId="4B94CD04" w14:textId="77777777" w:rsidR="007E3C1F" w:rsidRDefault="00000000">
      <w:pPr>
        <w:spacing w:beforeAutospacing="1" w:afterAutospacing="1"/>
        <w:rPr>
          <w:rFonts w:asciiTheme="minorHAnsi" w:hAnsiTheme="minorHAnsi" w:cstheme="minorHAnsi"/>
          <w:sz w:val="22"/>
          <w:szCs w:val="22"/>
        </w:rPr>
      </w:pPr>
      <w:r>
        <w:rPr>
          <w:rFonts w:asciiTheme="minorHAnsi" w:hAnsiTheme="minorHAnsi" w:cstheme="minorHAnsi"/>
          <w:sz w:val="22"/>
          <w:szCs w:val="22"/>
        </w:rPr>
        <w:t xml:space="preserve">Dotyczy: Zamówienia w trybie podstawowym bez przeprowadzenia negocjacji na podstawie art. 275 pkt 1 ustawy z dnia 11 września 2019 r. Prawo zamówień́ publicznych (Dz. U. z 2019 r. poz. 2019 ze zm.) pn.: </w:t>
      </w:r>
    </w:p>
    <w:p w14:paraId="2689EB78" w14:textId="77777777" w:rsidR="007E3C1F" w:rsidRDefault="00000000">
      <w:pPr>
        <w:spacing w:line="264" w:lineRule="auto"/>
        <w:ind w:left="69" w:right="37"/>
        <w:jc w:val="both"/>
        <w:rPr>
          <w:rFonts w:asciiTheme="minorHAnsi" w:hAnsiTheme="minorHAnsi" w:cstheme="minorHAnsi"/>
          <w:b/>
          <w:bCs/>
          <w:sz w:val="22"/>
          <w:szCs w:val="22"/>
        </w:rPr>
      </w:pPr>
      <w:r>
        <w:rPr>
          <w:rFonts w:asciiTheme="minorHAnsi" w:hAnsiTheme="minorHAnsi" w:cstheme="minorHAnsi"/>
          <w:b/>
          <w:bCs/>
          <w:sz w:val="22"/>
          <w:szCs w:val="20"/>
        </w:rPr>
        <w:t>Modernizacja Parku im. gen. J. Sowińskiego w Warszawie” położonego w Warszawie Park Sowińskiego przy ulicy Elekcyjnej 17 – Etap I</w:t>
      </w:r>
    </w:p>
    <w:p w14:paraId="141B2C58" w14:textId="77777777" w:rsidR="007E3C1F" w:rsidRDefault="007E3C1F">
      <w:pPr>
        <w:rPr>
          <w:rFonts w:asciiTheme="minorHAnsi" w:hAnsiTheme="minorHAnsi" w:cstheme="minorHAnsi"/>
          <w:sz w:val="22"/>
          <w:szCs w:val="22"/>
        </w:rPr>
      </w:pPr>
    </w:p>
    <w:p w14:paraId="7902FED5" w14:textId="3044421D" w:rsidR="007E3C1F" w:rsidRPr="00741868" w:rsidRDefault="00000000">
      <w:pPr>
        <w:rPr>
          <w:rFonts w:asciiTheme="minorHAnsi" w:hAnsiTheme="minorHAnsi" w:cstheme="minorHAnsi"/>
          <w:b/>
          <w:bCs/>
          <w:sz w:val="22"/>
          <w:szCs w:val="22"/>
        </w:rPr>
      </w:pPr>
      <w:r w:rsidRPr="00741868">
        <w:rPr>
          <w:rFonts w:asciiTheme="minorHAnsi" w:hAnsiTheme="minorHAnsi" w:cstheme="minorHAnsi"/>
          <w:b/>
          <w:bCs/>
          <w:sz w:val="22"/>
          <w:szCs w:val="22"/>
        </w:rPr>
        <w:t xml:space="preserve">Ogłoszenie nr </w:t>
      </w:r>
      <w:r w:rsidR="00741868" w:rsidRPr="00741868">
        <w:rPr>
          <w:rFonts w:asciiTheme="minorHAnsi" w:hAnsiTheme="minorHAnsi" w:cstheme="minorHAnsi"/>
          <w:b/>
          <w:bCs/>
          <w:sz w:val="22"/>
          <w:szCs w:val="22"/>
        </w:rPr>
        <w:t>2022/BZP 00493532/01</w:t>
      </w:r>
    </w:p>
    <w:p w14:paraId="45A92F4C" w14:textId="77777777" w:rsidR="00741868" w:rsidRDefault="00741868">
      <w:pPr>
        <w:rPr>
          <w:rFonts w:asciiTheme="minorHAnsi" w:hAnsiTheme="minorHAnsi" w:cstheme="minorHAnsi"/>
          <w:sz w:val="22"/>
          <w:szCs w:val="22"/>
        </w:rPr>
      </w:pPr>
    </w:p>
    <w:p w14:paraId="02F723F3" w14:textId="77777777" w:rsidR="007E3C1F" w:rsidRDefault="00000000">
      <w:pPr>
        <w:rPr>
          <w:rFonts w:asciiTheme="minorHAnsi" w:hAnsiTheme="minorHAnsi" w:cstheme="minorHAnsi"/>
          <w:sz w:val="22"/>
          <w:szCs w:val="22"/>
        </w:rPr>
      </w:pPr>
      <w:r>
        <w:rPr>
          <w:rFonts w:asciiTheme="minorHAnsi" w:hAnsiTheme="minorHAnsi" w:cstheme="minorHAnsi"/>
          <w:sz w:val="22"/>
          <w:szCs w:val="22"/>
        </w:rPr>
        <w:t xml:space="preserve">Na podstawie ustawy z dnia 11 września 2019 r. Prawo zamówień́ publicznych (tj. Dz.U. z 2019 r. poz.2019 ze zm.) Zamawiający informuje, że złożone zostało pisemne zapytanie do </w:t>
      </w:r>
      <w:proofErr w:type="spellStart"/>
      <w:r>
        <w:rPr>
          <w:rFonts w:asciiTheme="minorHAnsi" w:hAnsiTheme="minorHAnsi" w:cstheme="minorHAnsi"/>
          <w:sz w:val="22"/>
          <w:szCs w:val="22"/>
        </w:rPr>
        <w:t>ww</w:t>
      </w:r>
      <w:proofErr w:type="spellEnd"/>
      <w:r>
        <w:rPr>
          <w:rFonts w:asciiTheme="minorHAnsi" w:hAnsiTheme="minorHAnsi" w:cstheme="minorHAnsi"/>
          <w:sz w:val="22"/>
          <w:szCs w:val="22"/>
        </w:rPr>
        <w:t xml:space="preserve"> postępowania o udzielenie zamówienia publicznego.</w:t>
      </w:r>
    </w:p>
    <w:p w14:paraId="5E2ACA69" w14:textId="77777777" w:rsidR="007E3C1F" w:rsidRDefault="007E3C1F">
      <w:pPr>
        <w:rPr>
          <w:rFonts w:asciiTheme="minorHAnsi" w:hAnsiTheme="minorHAnsi" w:cstheme="minorHAnsi"/>
          <w:sz w:val="22"/>
          <w:szCs w:val="22"/>
        </w:rPr>
      </w:pPr>
    </w:p>
    <w:p w14:paraId="2AA413A3" w14:textId="77777777" w:rsidR="007E3C1F" w:rsidRDefault="00000000">
      <w:pPr>
        <w:rPr>
          <w:rFonts w:asciiTheme="minorHAnsi" w:hAnsiTheme="minorHAnsi" w:cstheme="minorHAnsi"/>
          <w:sz w:val="22"/>
          <w:szCs w:val="22"/>
        </w:rPr>
      </w:pPr>
      <w:r>
        <w:rPr>
          <w:rFonts w:asciiTheme="minorHAnsi" w:hAnsiTheme="minorHAnsi" w:cstheme="minorHAnsi"/>
          <w:sz w:val="22"/>
          <w:szCs w:val="22"/>
        </w:rPr>
        <w:t>Zamawiający przekazuje do publicznej wiadomości treść zapytania wraz z wyjaśnieniami Zamawiającego, które stanowią integralną część SWZ.</w:t>
      </w:r>
    </w:p>
    <w:p w14:paraId="7392177F" w14:textId="77777777" w:rsidR="007E3C1F" w:rsidRDefault="007E3C1F">
      <w:pPr>
        <w:rPr>
          <w:rFonts w:asciiTheme="minorHAnsi" w:hAnsiTheme="minorHAnsi" w:cstheme="minorHAnsi"/>
          <w:sz w:val="22"/>
          <w:szCs w:val="22"/>
        </w:rPr>
      </w:pPr>
    </w:p>
    <w:p w14:paraId="469C67AF" w14:textId="77777777" w:rsidR="007E3C1F" w:rsidRDefault="00000000">
      <w:pPr>
        <w:rPr>
          <w:rFonts w:ascii="Calibri" w:hAnsi="Calibri"/>
          <w:b/>
          <w:bCs/>
          <w:sz w:val="22"/>
          <w:szCs w:val="22"/>
        </w:rPr>
      </w:pPr>
      <w:r>
        <w:rPr>
          <w:rFonts w:ascii="Calibri" w:hAnsi="Calibri"/>
          <w:b/>
          <w:bCs/>
          <w:sz w:val="22"/>
          <w:szCs w:val="22"/>
        </w:rPr>
        <w:t>Pytania:</w:t>
      </w:r>
    </w:p>
    <w:p w14:paraId="79428AD9" w14:textId="77777777" w:rsidR="007E3C1F" w:rsidRDefault="00000000">
      <w:pPr>
        <w:numPr>
          <w:ilvl w:val="0"/>
          <w:numId w:val="1"/>
        </w:numPr>
        <w:spacing w:line="256" w:lineRule="auto"/>
        <w:ind w:hanging="218"/>
        <w:rPr>
          <w:rFonts w:ascii="Calibri" w:hAnsi="Calibri"/>
          <w:sz w:val="22"/>
          <w:szCs w:val="22"/>
        </w:rPr>
      </w:pPr>
      <w:r>
        <w:rPr>
          <w:rFonts w:ascii="Calibri" w:hAnsi="Calibri"/>
          <w:sz w:val="22"/>
          <w:szCs w:val="22"/>
        </w:rPr>
        <w:t xml:space="preserve">Zwracamy </w:t>
      </w:r>
      <w:proofErr w:type="gramStart"/>
      <w:r>
        <w:rPr>
          <w:rFonts w:ascii="Calibri" w:hAnsi="Calibri"/>
          <w:sz w:val="22"/>
          <w:szCs w:val="22"/>
        </w:rPr>
        <w:t>się  z</w:t>
      </w:r>
      <w:proofErr w:type="gramEnd"/>
      <w:r>
        <w:rPr>
          <w:rFonts w:ascii="Calibri" w:hAnsi="Calibri"/>
          <w:sz w:val="22"/>
          <w:szCs w:val="22"/>
        </w:rPr>
        <w:t xml:space="preserve"> uprzejma prośbą o zmianę wymagań dotyczących zabezpieczenia należytego wykonania umowy i tym samym zmniejszenie zabezpieczenia należytego wykonania umowy z 5% ceny całkowitej podanej w ofercie na 3%. </w:t>
      </w:r>
    </w:p>
    <w:p w14:paraId="08D5A4B7" w14:textId="77777777" w:rsidR="007E3C1F" w:rsidRDefault="00000000">
      <w:pPr>
        <w:numPr>
          <w:ilvl w:val="0"/>
          <w:numId w:val="1"/>
        </w:numPr>
        <w:spacing w:line="256" w:lineRule="auto"/>
        <w:ind w:hanging="218"/>
        <w:rPr>
          <w:rFonts w:ascii="Calibri" w:hAnsi="Calibri"/>
          <w:sz w:val="22"/>
          <w:szCs w:val="22"/>
        </w:rPr>
      </w:pPr>
      <w:r>
        <w:rPr>
          <w:rFonts w:ascii="Calibri" w:hAnsi="Calibri"/>
          <w:sz w:val="22"/>
          <w:szCs w:val="22"/>
        </w:rPr>
        <w:t xml:space="preserve">Zgodnie z zapisami SWZ, Zamawiający w przedmiotowym postępowaniu jako kryterium oceny oferty przyjmuje gwarancję na roboty budowlane. Wykonawcy, którzy zadeklarują w swojej ofercie 120 miesięcy gwarancji otrzymają maksymalną liczbę punktów w danym kryterium.  </w:t>
      </w:r>
    </w:p>
    <w:p w14:paraId="071CB9F4" w14:textId="77777777" w:rsidR="007E3C1F" w:rsidRDefault="00000000">
      <w:pPr>
        <w:ind w:left="-5" w:hanging="10"/>
        <w:rPr>
          <w:rFonts w:ascii="Calibri" w:hAnsi="Calibri"/>
          <w:sz w:val="22"/>
          <w:szCs w:val="22"/>
        </w:rPr>
      </w:pPr>
      <w:r>
        <w:rPr>
          <w:rFonts w:ascii="Calibri" w:hAnsi="Calibri"/>
          <w:sz w:val="22"/>
          <w:szCs w:val="22"/>
        </w:rPr>
        <w:t xml:space="preserve">Wnosimy o skrócenie maksymalnego okresu gwarancji do 60 miesięcy. Ustalenie zbyt długiego okresu gwarancji w rzeczywistości działa na szkodę Zamawiającego, gdyż powoduję wyższą cenowo ofertę. Nadto obowiązkiem Zamawiającego będzie przestrzeganie wszelkich wytycznych dotyczących prawidłowego użytkowania obiektu w tym okresie, co będzie generowało dodatkowe koszty po stronie Zamawiającego. Nadto nieprzestrzeganie zasad użytkowania określonych w gwarancji przez cały okres jej trwania spowoduje utratę tejże gwarancji. Wskazać należy, iż dłuższe niż 60 miesięcy okresy gwarancji są nierealne do spełnienia, zwłaszcza co do urządzeń. Żaden producent nie daje gwarancji na swoje urządzenia na okres dłuższy niż 60 miesięcy, ani nie zapewnia części zamiennych na dłuższy okres. </w:t>
      </w:r>
    </w:p>
    <w:p w14:paraId="74168554" w14:textId="77777777" w:rsidR="007E3C1F" w:rsidRDefault="00000000">
      <w:pPr>
        <w:ind w:left="-5" w:hanging="10"/>
        <w:rPr>
          <w:rFonts w:ascii="Calibri" w:hAnsi="Calibri"/>
          <w:sz w:val="22"/>
          <w:szCs w:val="22"/>
        </w:rPr>
      </w:pPr>
      <w:r>
        <w:rPr>
          <w:rFonts w:ascii="Calibri" w:hAnsi="Calibri"/>
          <w:sz w:val="22"/>
          <w:szCs w:val="22"/>
        </w:rPr>
        <w:t xml:space="preserve">Ponadto, Towarzystwa Ubezpieczeniowe udzielają maksymalnej gwarancji do 60 miesięcy. W związku </w:t>
      </w:r>
      <w:proofErr w:type="gramStart"/>
      <w:r>
        <w:rPr>
          <w:rFonts w:ascii="Calibri" w:hAnsi="Calibri"/>
          <w:sz w:val="22"/>
          <w:szCs w:val="22"/>
        </w:rPr>
        <w:t>z  powyższym</w:t>
      </w:r>
      <w:proofErr w:type="gramEnd"/>
      <w:r>
        <w:rPr>
          <w:rFonts w:ascii="Calibri" w:hAnsi="Calibri"/>
          <w:sz w:val="22"/>
          <w:szCs w:val="22"/>
        </w:rPr>
        <w:t xml:space="preserve"> zwracamy się z uprzejmą prośbą o zmianę kryteriów oceny ofert i wyznaczenie 60 miesięcy gwarancji jako maksymalną.  </w:t>
      </w:r>
    </w:p>
    <w:p w14:paraId="1F05D07E" w14:textId="77777777" w:rsidR="007E3C1F" w:rsidRDefault="00000000">
      <w:pPr>
        <w:numPr>
          <w:ilvl w:val="0"/>
          <w:numId w:val="1"/>
        </w:numPr>
        <w:ind w:hanging="218"/>
        <w:rPr>
          <w:rFonts w:ascii="Calibri" w:hAnsi="Calibri"/>
          <w:sz w:val="22"/>
          <w:szCs w:val="22"/>
        </w:rPr>
      </w:pPr>
      <w:r>
        <w:rPr>
          <w:rFonts w:ascii="Calibri" w:hAnsi="Calibri"/>
          <w:sz w:val="22"/>
          <w:szCs w:val="22"/>
        </w:rPr>
        <w:t xml:space="preserve">Czy w przypadku braku zgody na skrócenie okresu gwarancji zgodnie z art. 452 ust 8 </w:t>
      </w:r>
      <w:proofErr w:type="spellStart"/>
      <w:r>
        <w:rPr>
          <w:rFonts w:ascii="Calibri" w:hAnsi="Calibri"/>
          <w:sz w:val="22"/>
          <w:szCs w:val="22"/>
        </w:rPr>
        <w:t>Pzp</w:t>
      </w:r>
      <w:proofErr w:type="spellEnd"/>
      <w:r>
        <w:rPr>
          <w:rFonts w:ascii="Calibri" w:hAnsi="Calibri"/>
          <w:sz w:val="22"/>
          <w:szCs w:val="22"/>
        </w:rPr>
        <w:t xml:space="preserve"> Inwestor wyrazi zgodę na udzielenie przez Wykonawcę gwarancji usunięcia wad i usterek na okres 5 lat, a na pozostały okres pisemne oświadczenie Wykonawcy, że przed upływem należytego wykonania umowy zostanie ona przedłużona na kolejne 60 miesięcy lub wniesienia nowego zabezpieczenia na kolejne okresy?  </w:t>
      </w:r>
    </w:p>
    <w:p w14:paraId="3D1C37AF" w14:textId="77777777" w:rsidR="007E3C1F" w:rsidRDefault="00000000">
      <w:pPr>
        <w:ind w:left="-5" w:hanging="10"/>
        <w:rPr>
          <w:rFonts w:ascii="Calibri" w:hAnsi="Calibri"/>
          <w:sz w:val="22"/>
          <w:szCs w:val="22"/>
        </w:rPr>
      </w:pPr>
      <w:r>
        <w:rPr>
          <w:rFonts w:ascii="Calibri" w:hAnsi="Calibri"/>
          <w:sz w:val="22"/>
          <w:szCs w:val="22"/>
        </w:rPr>
        <w:t xml:space="preserve">Jeśli Zamawiający wyraża zgodę to prosimy o uwzględnienie zapisów art. 452 ust 8 </w:t>
      </w:r>
      <w:proofErr w:type="spellStart"/>
      <w:r>
        <w:rPr>
          <w:rFonts w:ascii="Calibri" w:hAnsi="Calibri"/>
          <w:sz w:val="22"/>
          <w:szCs w:val="22"/>
        </w:rPr>
        <w:t>Pzp</w:t>
      </w:r>
      <w:proofErr w:type="spellEnd"/>
      <w:r>
        <w:rPr>
          <w:rFonts w:ascii="Calibri" w:hAnsi="Calibri"/>
          <w:sz w:val="22"/>
          <w:szCs w:val="22"/>
        </w:rPr>
        <w:t xml:space="preserve"> w SWZ. </w:t>
      </w:r>
    </w:p>
    <w:p w14:paraId="7E90FA1B" w14:textId="77777777" w:rsidR="007E3C1F" w:rsidRDefault="00000000">
      <w:pPr>
        <w:numPr>
          <w:ilvl w:val="0"/>
          <w:numId w:val="1"/>
        </w:numPr>
        <w:spacing w:line="256" w:lineRule="auto"/>
        <w:ind w:hanging="218"/>
        <w:rPr>
          <w:rFonts w:ascii="Calibri" w:hAnsi="Calibri"/>
          <w:sz w:val="22"/>
          <w:szCs w:val="22"/>
        </w:rPr>
      </w:pPr>
      <w:r>
        <w:rPr>
          <w:rFonts w:ascii="Calibri" w:hAnsi="Calibri"/>
          <w:sz w:val="22"/>
          <w:szCs w:val="22"/>
        </w:rPr>
        <w:lastRenderedPageBreak/>
        <w:t xml:space="preserve">Sposób procedowania z zabezpieczenia należytego wykonania umowy wniesionym w formie gotówki określa art. 450 ust. 5 ustawy PZP.W związku z powyższym prosimy o informację czy Zamawiający posiada oddzielne konto na przechowywanie ww. środków finansowych oraz informację w jaki sposób będzie ono oprocentowane? </w:t>
      </w:r>
    </w:p>
    <w:p w14:paraId="1AD7CD3B" w14:textId="77777777" w:rsidR="007E3C1F" w:rsidRDefault="00000000">
      <w:pPr>
        <w:numPr>
          <w:ilvl w:val="0"/>
          <w:numId w:val="1"/>
        </w:numPr>
        <w:ind w:hanging="218"/>
        <w:rPr>
          <w:rFonts w:ascii="Calibri" w:hAnsi="Calibri"/>
          <w:sz w:val="22"/>
          <w:szCs w:val="22"/>
        </w:rPr>
      </w:pPr>
      <w:r>
        <w:rPr>
          <w:rFonts w:ascii="Calibri" w:hAnsi="Calibri"/>
          <w:sz w:val="22"/>
          <w:szCs w:val="22"/>
        </w:rPr>
        <w:t xml:space="preserve">Czy Zamawiający przewiduje możliwość częściowego zwrotu zabezpieczenia po wykonaniu części zamówienia zgodnie z art. 453 ust. 4 PZP? </w:t>
      </w:r>
    </w:p>
    <w:p w14:paraId="63E907CE" w14:textId="77777777" w:rsidR="007E3C1F" w:rsidRDefault="00000000">
      <w:pPr>
        <w:numPr>
          <w:ilvl w:val="0"/>
          <w:numId w:val="1"/>
        </w:numPr>
        <w:ind w:hanging="218"/>
        <w:rPr>
          <w:rFonts w:ascii="Calibri" w:hAnsi="Calibri"/>
          <w:sz w:val="22"/>
          <w:szCs w:val="22"/>
        </w:rPr>
      </w:pPr>
      <w:r>
        <w:rPr>
          <w:rFonts w:ascii="Calibri" w:hAnsi="Calibri"/>
          <w:sz w:val="22"/>
          <w:szCs w:val="22"/>
        </w:rPr>
        <w:t xml:space="preserve">Zwracamy się z prośba o odpowiedz na pytanie jaka stawkę VAT wykonawca powinien przyjąć do wyceny ww. postepowania. Zamówienie obejmuje zarówno roboty budowlane jak i zieleń. </w:t>
      </w:r>
    </w:p>
    <w:p w14:paraId="7DDD4C97" w14:textId="77777777" w:rsidR="007E3C1F" w:rsidRDefault="00000000">
      <w:pPr>
        <w:numPr>
          <w:ilvl w:val="0"/>
          <w:numId w:val="1"/>
        </w:numPr>
        <w:ind w:hanging="218"/>
        <w:rPr>
          <w:rFonts w:ascii="Calibri" w:hAnsi="Calibri"/>
          <w:sz w:val="22"/>
          <w:szCs w:val="22"/>
        </w:rPr>
      </w:pPr>
      <w:r>
        <w:rPr>
          <w:rFonts w:ascii="Calibri" w:hAnsi="Calibri"/>
          <w:sz w:val="22"/>
          <w:szCs w:val="22"/>
        </w:rPr>
        <w:t xml:space="preserve">Zwracamy się z prośbą o skrócenie terminu związania ofertą z 60 dni na 30 dni.  </w:t>
      </w:r>
    </w:p>
    <w:p w14:paraId="2DD02622" w14:textId="77777777" w:rsidR="007E3C1F" w:rsidRDefault="00000000">
      <w:pPr>
        <w:numPr>
          <w:ilvl w:val="0"/>
          <w:numId w:val="1"/>
        </w:numPr>
        <w:ind w:hanging="218"/>
        <w:rPr>
          <w:rFonts w:ascii="Calibri" w:hAnsi="Calibri"/>
          <w:sz w:val="22"/>
          <w:szCs w:val="22"/>
        </w:rPr>
      </w:pPr>
      <w:r>
        <w:rPr>
          <w:rFonts w:asciiTheme="minorHAnsi" w:hAnsiTheme="minorHAnsi" w:cstheme="minorHAnsi"/>
          <w:sz w:val="22"/>
          <w:szCs w:val="22"/>
        </w:rPr>
        <w:t>Przerwa świąteczno-noworoczna powoduje braki kadrowe, a także dłuższy czas oczekiwania na oferty od podwykonawców. W związku z powyższym zwracamy się z prośbą o przesunięcie terminu składania ofert do 12.01.</w:t>
      </w:r>
      <w:proofErr w:type="gramStart"/>
      <w:r>
        <w:rPr>
          <w:rFonts w:asciiTheme="minorHAnsi" w:hAnsiTheme="minorHAnsi" w:cstheme="minorHAnsi"/>
          <w:sz w:val="22"/>
          <w:szCs w:val="22"/>
        </w:rPr>
        <w:t>2023r.</w:t>
      </w:r>
      <w:proofErr w:type="gramEnd"/>
      <w:r>
        <w:rPr>
          <w:rFonts w:asciiTheme="minorHAnsi" w:hAnsiTheme="minorHAnsi" w:cstheme="minorHAnsi"/>
          <w:sz w:val="22"/>
          <w:szCs w:val="22"/>
        </w:rPr>
        <w:t xml:space="preserve"> </w:t>
      </w:r>
    </w:p>
    <w:p w14:paraId="2553A1C6" w14:textId="77777777" w:rsidR="007E3C1F" w:rsidRDefault="007E3C1F">
      <w:pPr>
        <w:rPr>
          <w:rFonts w:ascii="Calibri" w:hAnsi="Calibri"/>
          <w:sz w:val="22"/>
          <w:szCs w:val="22"/>
        </w:rPr>
      </w:pPr>
    </w:p>
    <w:p w14:paraId="1471DDFB" w14:textId="40DB9E60" w:rsidR="007E3C1F" w:rsidRDefault="00000000">
      <w:pPr>
        <w:rPr>
          <w:rFonts w:asciiTheme="minorHAnsi" w:hAnsiTheme="minorHAnsi" w:cstheme="minorHAnsi"/>
          <w:sz w:val="22"/>
          <w:szCs w:val="22"/>
        </w:rPr>
      </w:pPr>
      <w:r>
        <w:rPr>
          <w:rFonts w:asciiTheme="minorHAnsi" w:hAnsiTheme="minorHAnsi" w:cstheme="minorHAnsi"/>
          <w:b/>
          <w:bCs/>
          <w:sz w:val="22"/>
          <w:szCs w:val="22"/>
        </w:rPr>
        <w:t>Odpowied</w:t>
      </w:r>
      <w:r w:rsidR="00741868">
        <w:rPr>
          <w:rFonts w:asciiTheme="minorHAnsi" w:hAnsiTheme="minorHAnsi" w:cstheme="minorHAnsi"/>
          <w:b/>
          <w:bCs/>
          <w:sz w:val="22"/>
          <w:szCs w:val="22"/>
        </w:rPr>
        <w:t>zi Zamawiającego</w:t>
      </w:r>
      <w:r>
        <w:rPr>
          <w:rFonts w:asciiTheme="minorHAnsi" w:hAnsiTheme="minorHAnsi" w:cstheme="minorHAnsi"/>
          <w:b/>
          <w:bCs/>
          <w:sz w:val="22"/>
          <w:szCs w:val="22"/>
        </w:rPr>
        <w:t>:</w:t>
      </w:r>
    </w:p>
    <w:p w14:paraId="6F5DB0BC" w14:textId="77777777" w:rsidR="007E3C1F" w:rsidRDefault="00000000">
      <w:pPr>
        <w:rPr>
          <w:rFonts w:ascii="Calibri" w:hAnsi="Calibri"/>
          <w:sz w:val="22"/>
          <w:szCs w:val="22"/>
        </w:rPr>
      </w:pPr>
      <w:r>
        <w:rPr>
          <w:rFonts w:asciiTheme="minorHAnsi" w:hAnsiTheme="minorHAnsi" w:cstheme="minorHAnsi"/>
          <w:sz w:val="22"/>
          <w:szCs w:val="22"/>
        </w:rPr>
        <w:t xml:space="preserve">1. Zamawiający nie zgadza się na zmianę wymagań dotyczących zabezpieczenia należytego wykonania umowy. </w:t>
      </w:r>
    </w:p>
    <w:p w14:paraId="7852123B" w14:textId="77777777" w:rsidR="007E3C1F" w:rsidRDefault="00000000">
      <w:pPr>
        <w:rPr>
          <w:rFonts w:ascii="Calibri" w:hAnsi="Calibri"/>
          <w:sz w:val="22"/>
          <w:szCs w:val="22"/>
        </w:rPr>
      </w:pPr>
      <w:r>
        <w:rPr>
          <w:rFonts w:asciiTheme="minorHAnsi" w:hAnsiTheme="minorHAnsi" w:cstheme="minorHAnsi"/>
          <w:sz w:val="22"/>
          <w:szCs w:val="22"/>
        </w:rPr>
        <w:t xml:space="preserve">2. Zamawiający nie zgadza się na zmianę kryteriów oceny ofert i wyznaczenie 60 miesięcy gwarancji jako maksymalną. </w:t>
      </w:r>
    </w:p>
    <w:p w14:paraId="7F925E09" w14:textId="77777777" w:rsidR="007E3C1F" w:rsidRDefault="00000000">
      <w:pPr>
        <w:rPr>
          <w:rFonts w:ascii="Calibri" w:hAnsi="Calibri"/>
          <w:sz w:val="22"/>
          <w:szCs w:val="22"/>
        </w:rPr>
      </w:pPr>
      <w:r>
        <w:rPr>
          <w:rFonts w:asciiTheme="minorHAnsi" w:hAnsiTheme="minorHAnsi" w:cstheme="minorHAnsi"/>
          <w:sz w:val="22"/>
          <w:szCs w:val="22"/>
        </w:rPr>
        <w:t xml:space="preserve">3. Zamawiający wyraża zgodę na skrócenie okresu gwarancji zgodnie z art. 452 ust 8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14:paraId="2D2E822C" w14:textId="1B4183A8" w:rsidR="007E3C1F" w:rsidRDefault="00000000">
      <w:pPr>
        <w:rPr>
          <w:rFonts w:ascii="Calibri" w:hAnsi="Calibri"/>
          <w:sz w:val="22"/>
          <w:szCs w:val="22"/>
        </w:rPr>
      </w:pPr>
      <w:r>
        <w:rPr>
          <w:rFonts w:asciiTheme="minorHAnsi" w:hAnsiTheme="minorHAnsi" w:cstheme="minorHAnsi"/>
          <w:sz w:val="22"/>
          <w:szCs w:val="22"/>
        </w:rPr>
        <w:t xml:space="preserve">4. </w:t>
      </w:r>
      <w:r w:rsidR="00741868">
        <w:rPr>
          <w:rFonts w:asciiTheme="minorHAnsi" w:hAnsiTheme="minorHAnsi" w:cstheme="minorHAnsi"/>
          <w:sz w:val="22"/>
          <w:szCs w:val="22"/>
        </w:rPr>
        <w:t>W przypadku wyboru tej formy zabezpieczenia, Zamawiający otworzy rachunek oprocentowany zgodnie z tabelą oprocentowania obowiązującą w Banku Pekao S.A.</w:t>
      </w:r>
    </w:p>
    <w:p w14:paraId="6C44920C" w14:textId="77777777" w:rsidR="007E3C1F" w:rsidRDefault="00000000">
      <w:pPr>
        <w:rPr>
          <w:rFonts w:ascii="Calibri" w:hAnsi="Calibri"/>
          <w:sz w:val="22"/>
          <w:szCs w:val="22"/>
        </w:rPr>
      </w:pPr>
      <w:r>
        <w:rPr>
          <w:rFonts w:asciiTheme="minorHAnsi" w:hAnsiTheme="minorHAnsi" w:cstheme="minorHAnsi"/>
          <w:sz w:val="22"/>
          <w:szCs w:val="22"/>
        </w:rPr>
        <w:t>5. Zasady zwrotu zabezpieczenia określone zostały w XIV SWZ – Zabezpieczenie należytego wykonania umowy.</w:t>
      </w:r>
    </w:p>
    <w:p w14:paraId="1DA3BBD1" w14:textId="6FE2136E" w:rsidR="007E3C1F" w:rsidRDefault="00000000">
      <w:pPr>
        <w:rPr>
          <w:rFonts w:ascii="Calibri" w:hAnsi="Calibri"/>
          <w:sz w:val="22"/>
          <w:szCs w:val="22"/>
        </w:rPr>
      </w:pPr>
      <w:r>
        <w:rPr>
          <w:rFonts w:asciiTheme="minorHAnsi" w:hAnsiTheme="minorHAnsi" w:cstheme="minorHAnsi"/>
          <w:sz w:val="22"/>
          <w:szCs w:val="22"/>
        </w:rPr>
        <w:t xml:space="preserve">6. Zamawiający powinien przyjąć stawkę </w:t>
      </w:r>
      <w:r w:rsidRPr="00741868">
        <w:rPr>
          <w:rFonts w:asciiTheme="minorHAnsi" w:hAnsiTheme="minorHAnsi" w:cstheme="minorHAnsi"/>
          <w:sz w:val="22"/>
          <w:szCs w:val="22"/>
        </w:rPr>
        <w:t>podatku</w:t>
      </w:r>
      <w:r w:rsidR="00741868">
        <w:rPr>
          <w:rFonts w:asciiTheme="minorHAnsi" w:hAnsiTheme="minorHAnsi" w:cstheme="minorHAnsi"/>
          <w:sz w:val="22"/>
          <w:szCs w:val="22"/>
        </w:rPr>
        <w:t xml:space="preserve"> VAT taką jak w przypadku robót budowlanych.</w:t>
      </w:r>
      <w:r w:rsidRPr="00741868">
        <w:rPr>
          <w:rFonts w:asciiTheme="minorHAnsi" w:hAnsiTheme="minorHAnsi" w:cstheme="minorHAnsi"/>
          <w:sz w:val="22"/>
          <w:szCs w:val="22"/>
        </w:rPr>
        <w:t xml:space="preserve"> </w:t>
      </w:r>
    </w:p>
    <w:p w14:paraId="2D68F24E" w14:textId="77777777" w:rsidR="007E3C1F" w:rsidRDefault="00000000">
      <w:pPr>
        <w:rPr>
          <w:rFonts w:asciiTheme="minorHAnsi" w:hAnsiTheme="minorHAnsi"/>
          <w:sz w:val="22"/>
          <w:szCs w:val="22"/>
        </w:rPr>
      </w:pPr>
      <w:r>
        <w:rPr>
          <w:rFonts w:ascii="Calibri" w:hAnsi="Calibri" w:cstheme="minorHAnsi"/>
          <w:sz w:val="22"/>
          <w:szCs w:val="22"/>
        </w:rPr>
        <w:t>7. Zamawiający nie zgadza się na skrócenie terminu związania ofertą.</w:t>
      </w:r>
    </w:p>
    <w:p w14:paraId="2E2468B6" w14:textId="77777777" w:rsidR="007E3C1F" w:rsidRDefault="00000000">
      <w:pPr>
        <w:rPr>
          <w:rFonts w:asciiTheme="minorHAnsi" w:hAnsiTheme="minorHAnsi"/>
          <w:sz w:val="22"/>
          <w:szCs w:val="22"/>
        </w:rPr>
      </w:pPr>
      <w:r>
        <w:rPr>
          <w:rFonts w:ascii="Calibri" w:hAnsi="Calibri" w:cstheme="minorHAnsi"/>
          <w:sz w:val="22"/>
          <w:szCs w:val="22"/>
        </w:rPr>
        <w:t>8. Zamawiający nie zgadza się na przesunięcie terminu składania ofert.</w:t>
      </w:r>
    </w:p>
    <w:p w14:paraId="45D1E7CE" w14:textId="77777777" w:rsidR="007E3C1F" w:rsidRDefault="007E3C1F">
      <w:pPr>
        <w:rPr>
          <w:rFonts w:ascii="Calibri" w:hAnsi="Calibri"/>
          <w:sz w:val="22"/>
          <w:szCs w:val="22"/>
        </w:rPr>
      </w:pPr>
    </w:p>
    <w:p w14:paraId="20B6B3F0" w14:textId="77777777" w:rsidR="007E3C1F" w:rsidRDefault="007E3C1F">
      <w:pPr>
        <w:rPr>
          <w:rFonts w:asciiTheme="minorHAnsi" w:hAnsiTheme="minorHAnsi" w:cstheme="minorHAnsi"/>
          <w:sz w:val="22"/>
          <w:szCs w:val="22"/>
        </w:rPr>
      </w:pPr>
    </w:p>
    <w:p w14:paraId="1C21B975" w14:textId="77777777" w:rsidR="007E3C1F" w:rsidRDefault="007E3C1F">
      <w:pPr>
        <w:rPr>
          <w:rFonts w:asciiTheme="minorHAnsi" w:hAnsiTheme="minorHAnsi" w:cstheme="minorHAnsi"/>
          <w:sz w:val="22"/>
          <w:szCs w:val="22"/>
        </w:rPr>
      </w:pPr>
    </w:p>
    <w:p w14:paraId="54D48AFB" w14:textId="77777777" w:rsidR="007E3C1F" w:rsidRDefault="007E3C1F"/>
    <w:sectPr w:rsidR="007E3C1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1"/>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01CB4"/>
    <w:multiLevelType w:val="multilevel"/>
    <w:tmpl w:val="9DA8C6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6F2705"/>
    <w:multiLevelType w:val="multilevel"/>
    <w:tmpl w:val="3DCAF7D0"/>
    <w:lvl w:ilvl="0">
      <w:start w:val="1"/>
      <w:numFmt w:val="decimal"/>
      <w:lvlText w:val="%1."/>
      <w:lvlJc w:val="left"/>
      <w:pPr>
        <w:tabs>
          <w:tab w:val="num" w:pos="720"/>
        </w:tabs>
        <w:ind w:left="21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977228">
    <w:abstractNumId w:val="1"/>
  </w:num>
  <w:num w:numId="2" w16cid:durableId="156286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1F"/>
    <w:rsid w:val="00741868"/>
    <w:rsid w:val="007E3C1F"/>
    <w:rsid w:val="00CD16E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3C11901"/>
  <w15:docId w15:val="{023E72C5-5117-2B43-89C0-2C7C9E21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C3B"/>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536BA0"/>
    <w:rPr>
      <w:color w:val="0000FF"/>
      <w:u w:val="single"/>
    </w:rPr>
  </w:style>
  <w:style w:type="character" w:customStyle="1" w:styleId="Odwiedzoneczeinternetowe">
    <w:name w:val="Odwiedzone łącze internetowe"/>
    <w:basedOn w:val="Domylnaczcionkaakapitu"/>
    <w:uiPriority w:val="99"/>
    <w:semiHidden/>
    <w:unhideWhenUsed/>
    <w:qFormat/>
    <w:rsid w:val="00536BA0"/>
    <w:rPr>
      <w:color w:val="954F72" w:themeColor="followedHyperlink"/>
      <w:u w:val="single"/>
    </w:rPr>
  </w:style>
  <w:style w:type="character" w:customStyle="1" w:styleId="WW8Num1z0">
    <w:name w:val="WW8Num1z0"/>
    <w:qFormat/>
    <w:rPr>
      <w:rFonts w:ascii="Calibri" w:eastAsia="Calibri" w:hAnsi="Calibri" w:cs="Calibri"/>
      <w:b w:val="0"/>
      <w:i w:val="0"/>
      <w:strike w:val="0"/>
      <w:dstrike w:val="0"/>
      <w:color w:val="000000"/>
      <w:position w:val="0"/>
      <w:sz w:val="22"/>
      <w:szCs w:val="22"/>
      <w:u w:val="none" w:color="000000"/>
      <w:shd w:val="clear" w:color="auto" w:fill="auto"/>
      <w:vertAlign w:val="baselin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NormalnyWeb">
    <w:name w:val="Normal (Web)"/>
    <w:basedOn w:val="Normalny"/>
    <w:uiPriority w:val="99"/>
    <w:semiHidden/>
    <w:unhideWhenUsed/>
    <w:qFormat/>
    <w:rsid w:val="00611EF2"/>
    <w:pPr>
      <w:spacing w:beforeAutospacing="1" w:afterAutospacing="1"/>
    </w:pPr>
  </w:style>
  <w:style w:type="paragraph" w:styleId="Akapitzlist">
    <w:name w:val="List Paragraph"/>
    <w:basedOn w:val="Normalny"/>
    <w:uiPriority w:val="34"/>
    <w:qFormat/>
    <w:rsid w:val="00E1081D"/>
    <w:pPr>
      <w:ind w:left="720"/>
      <w:contextualSpacing/>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3949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Kozłowska</dc:creator>
  <dc:description/>
  <cp:lastModifiedBy>Kamila Kozłowska</cp:lastModifiedBy>
  <cp:revision>3</cp:revision>
  <dcterms:created xsi:type="dcterms:W3CDTF">2022-12-23T13:08:00Z</dcterms:created>
  <dcterms:modified xsi:type="dcterms:W3CDTF">2022-12-23T13:18:00Z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